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2F6AB" w14:textId="77777777" w:rsidR="008F433C" w:rsidRPr="008F433C" w:rsidRDefault="008F433C" w:rsidP="00036CE3">
      <w:pPr>
        <w:ind w:left="2124" w:firstLine="708"/>
        <w:rPr>
          <w:rFonts w:ascii="Aptos Narrow" w:hAnsi="Aptos Narrow"/>
          <w:b/>
          <w:bCs/>
        </w:rPr>
      </w:pPr>
    </w:p>
    <w:p w14:paraId="35F12694" w14:textId="19B10394" w:rsidR="00036CE3" w:rsidRPr="00E66DAE" w:rsidRDefault="00036CE3" w:rsidP="00036CE3">
      <w:pPr>
        <w:ind w:left="2124" w:firstLine="708"/>
        <w:rPr>
          <w:rFonts w:ascii="Aptos Narrow" w:hAnsi="Aptos Narrow"/>
          <w:b/>
          <w:bCs/>
          <w:sz w:val="24"/>
          <w:szCs w:val="24"/>
        </w:rPr>
      </w:pPr>
      <w:r w:rsidRPr="00E66DAE">
        <w:rPr>
          <w:rFonts w:ascii="Aptos Narrow" w:hAnsi="Aptos Narrow"/>
          <w:b/>
          <w:bCs/>
          <w:sz w:val="24"/>
          <w:szCs w:val="24"/>
        </w:rPr>
        <w:t>WYTYCZNE DO DOKUMENTACJI PROJEKTOWEJ</w:t>
      </w:r>
    </w:p>
    <w:p w14:paraId="6530054B" w14:textId="67A44B7F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Wykonawca jest zobowiązany wykonać założenia wyjściowe do kosztorysowania, zaakceptowane przez inwestora.</w:t>
      </w:r>
    </w:p>
    <w:p w14:paraId="7E47EF46" w14:textId="14559B4C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Kosztorys musi być podzielny na każdą branżę osobno</w:t>
      </w:r>
      <w:r w:rsidR="00036CE3" w:rsidRPr="008F433C">
        <w:rPr>
          <w:rFonts w:ascii="Aptos Narrow" w:hAnsi="Aptos Narrow"/>
        </w:rPr>
        <w:t xml:space="preserve">, </w:t>
      </w:r>
      <w:r w:rsidRPr="008F433C">
        <w:rPr>
          <w:rFonts w:ascii="Aptos Narrow" w:hAnsi="Aptos Narrow"/>
        </w:rPr>
        <w:t>zawierać tabelę elementów scalonych</w:t>
      </w:r>
      <w:r w:rsidR="00036CE3" w:rsidRPr="008F433C">
        <w:rPr>
          <w:rFonts w:ascii="Aptos Narrow" w:hAnsi="Aptos Narrow"/>
        </w:rPr>
        <w:t xml:space="preserve">, </w:t>
      </w:r>
      <w:r w:rsidRPr="008F433C">
        <w:rPr>
          <w:rFonts w:ascii="Aptos Narrow" w:hAnsi="Aptos Narrow"/>
        </w:rPr>
        <w:t>datę opracowania oraz podpis.</w:t>
      </w:r>
    </w:p>
    <w:p w14:paraId="28B35940" w14:textId="12A2FE64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 xml:space="preserve">Podstawę cenową muszą stanowić ogólnodostępne cenniki materiałów budowlanych </w:t>
      </w:r>
      <w:r>
        <w:rPr>
          <w:rFonts w:ascii="Aptos Narrow" w:hAnsi="Aptos Narrow"/>
        </w:rPr>
        <w:br/>
      </w:r>
      <w:r w:rsidRPr="008F433C">
        <w:rPr>
          <w:rFonts w:ascii="Aptos Narrow" w:hAnsi="Aptos Narrow"/>
        </w:rPr>
        <w:t>np.</w:t>
      </w:r>
      <w:r w:rsidR="00036CE3" w:rsidRPr="008F433C">
        <w:rPr>
          <w:rFonts w:ascii="Aptos Narrow" w:hAnsi="Aptos Narrow"/>
        </w:rPr>
        <w:t xml:space="preserve"> </w:t>
      </w:r>
      <w:r w:rsidRPr="008F433C">
        <w:rPr>
          <w:rFonts w:ascii="Aptos Narrow" w:hAnsi="Aptos Narrow"/>
        </w:rPr>
        <w:t>Sekocenbud.</w:t>
      </w:r>
    </w:p>
    <w:p w14:paraId="0373B9CE" w14:textId="09BAB18B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Pozycje kosztorysowe muszą być zgodne z katalogami nakładów rzeczowych.</w:t>
      </w:r>
    </w:p>
    <w:p w14:paraId="09ABC73E" w14:textId="794A1381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Dokumentacja nie może zawierać nazw własnych (w przypadku ich zastosowania należy wykonać tabelę materiałów równoważnych).</w:t>
      </w:r>
    </w:p>
    <w:p w14:paraId="1E0739DE" w14:textId="57D909BC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Specyfikacja techniczna musi być ściśle związana z projektem budowlanym i kosztorysem inwestorskim ( powiązane pozycje).</w:t>
      </w:r>
    </w:p>
    <w:p w14:paraId="1643B0CC" w14:textId="1205EE9D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 xml:space="preserve">Wykonawca jest każdorazowo zobowiązany do uzyskiwania wszelkich pozwoleń, decyzji i opinii, </w:t>
      </w:r>
      <w:r>
        <w:rPr>
          <w:rFonts w:ascii="Aptos Narrow" w:hAnsi="Aptos Narrow"/>
        </w:rPr>
        <w:br/>
      </w:r>
      <w:r w:rsidRPr="008F433C">
        <w:rPr>
          <w:rFonts w:ascii="Aptos Narrow" w:hAnsi="Aptos Narrow"/>
        </w:rPr>
        <w:t>w tym zgody na wejścia w inne działki,  decyzje Konserwatora Zabytków, decyzje Biura Inwestycji Drogowych i Zarządzania Drogami i innych dokumentów, które są potrzebne do uzyskania decyzji pozwolenia na budowę bądź zaświadczenia o braku sprzeciwu do zakresu prac budowlanych wraz ze zgłoszeniem PB-2.</w:t>
      </w:r>
    </w:p>
    <w:p w14:paraId="3DE24FF6" w14:textId="6886C2A7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Dokumentacja musi być dostosowana do obowiązujących przepisów i norm budowlanych.</w:t>
      </w:r>
    </w:p>
    <w:p w14:paraId="2E225FA5" w14:textId="64B7D88F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Projekt budowlany musi zawierać oświadczenie o sporządzeniu dokumentacji zgodnie z przepisami budowlanymi oraz zgodnie z zawartą umową.</w:t>
      </w:r>
    </w:p>
    <w:p w14:paraId="77BBF728" w14:textId="0823EA14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Ilość egzemplarzy dostarczonej dokumentacji musi być zgodna z zapisami umowy.</w:t>
      </w:r>
    </w:p>
    <w:p w14:paraId="0105BEE8" w14:textId="7A5D5A88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 xml:space="preserve">Projekt budowlany musi zawierać oświadczenie o sporządzeniu projektu technicznego  </w:t>
      </w:r>
      <w:r>
        <w:rPr>
          <w:rFonts w:ascii="Aptos Narrow" w:hAnsi="Aptos Narrow"/>
        </w:rPr>
        <w:br/>
        <w:t xml:space="preserve"> - </w:t>
      </w:r>
      <w:r w:rsidRPr="008F433C">
        <w:rPr>
          <w:rFonts w:ascii="Aptos Narrow" w:hAnsi="Aptos Narrow"/>
        </w:rPr>
        <w:t>druk PINB</w:t>
      </w:r>
      <w:r w:rsidR="00036CE3" w:rsidRPr="008F433C">
        <w:rPr>
          <w:rFonts w:ascii="Aptos Narrow" w:hAnsi="Aptos Narrow"/>
        </w:rPr>
        <w:t>-02.</w:t>
      </w:r>
    </w:p>
    <w:p w14:paraId="54798A0B" w14:textId="112E6141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 xml:space="preserve">Dokumentacja w wersji elektronicznej </w:t>
      </w:r>
      <w:r w:rsidR="005E504B">
        <w:rPr>
          <w:rFonts w:ascii="Aptos Narrow" w:hAnsi="Aptos Narrow"/>
        </w:rPr>
        <w:t xml:space="preserve">(pdf. – podpisane skany) </w:t>
      </w:r>
      <w:r w:rsidRPr="008F433C">
        <w:rPr>
          <w:rFonts w:ascii="Aptos Narrow" w:hAnsi="Aptos Narrow"/>
        </w:rPr>
        <w:t xml:space="preserve">powinna być tak samo kompletna jak w wersji papierowej </w:t>
      </w:r>
      <w:r w:rsidR="005E504B">
        <w:rPr>
          <w:rFonts w:ascii="Aptos Narrow" w:hAnsi="Aptos Narrow"/>
        </w:rPr>
        <w:t>(</w:t>
      </w:r>
      <w:r w:rsidRPr="008F433C">
        <w:rPr>
          <w:rFonts w:ascii="Aptos Narrow" w:hAnsi="Aptos Narrow"/>
        </w:rPr>
        <w:t>wraz ze wszystkimi decyzjami, opiniami i specyfikacjami</w:t>
      </w:r>
      <w:r w:rsidR="005E504B">
        <w:rPr>
          <w:rFonts w:ascii="Aptos Narrow" w:hAnsi="Aptos Narrow"/>
        </w:rPr>
        <w:t>)</w:t>
      </w:r>
      <w:r w:rsidRPr="008F433C">
        <w:rPr>
          <w:rFonts w:ascii="Aptos Narrow" w:hAnsi="Aptos Narrow"/>
        </w:rPr>
        <w:t>.</w:t>
      </w:r>
    </w:p>
    <w:p w14:paraId="55B1B7F0" w14:textId="04E9DC19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W przypadku wystąpienia jakichkolwiek problemów w trakcie wykonywania dokumentacji, wykonawca zobowiązany do natychmiastowego zgłoszenia tego zamawiającemu w formie pisemnej.</w:t>
      </w:r>
    </w:p>
    <w:p w14:paraId="1DEA65BB" w14:textId="7E52D48A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Dokumentacja projektowo winna być zaakceptowana przez zamawiającego przed złożeniem jej do biura architektoniczno - budowlanego w celu uzyskania decyzji pozwolenia na budowę.</w:t>
      </w:r>
    </w:p>
    <w:p w14:paraId="444D6DDB" w14:textId="353D38CD" w:rsidR="00036CE3" w:rsidRPr="008F433C" w:rsidRDefault="008F433C" w:rsidP="00036CE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  <w:u w:val="single"/>
        </w:rPr>
      </w:pPr>
      <w:r w:rsidRPr="008F433C">
        <w:rPr>
          <w:rFonts w:ascii="Aptos Narrow" w:hAnsi="Aptos Narrow"/>
        </w:rPr>
        <w:t xml:space="preserve">Wykonawca może </w:t>
      </w:r>
      <w:r w:rsidRPr="008F433C">
        <w:rPr>
          <w:rFonts w:ascii="Aptos Narrow" w:hAnsi="Aptos Narrow"/>
          <w:u w:val="single"/>
        </w:rPr>
        <w:t>wystawić fakturę dopiero po podpisaniu protokołu zdawczo-odbiorczego.</w:t>
      </w:r>
    </w:p>
    <w:p w14:paraId="602AA549" w14:textId="2852B7C6" w:rsidR="00036CE3" w:rsidRDefault="008F433C" w:rsidP="00D52573">
      <w:pPr>
        <w:pStyle w:val="Akapitzlist"/>
        <w:widowControl/>
        <w:numPr>
          <w:ilvl w:val="0"/>
          <w:numId w:val="7"/>
        </w:numPr>
        <w:suppressAutoHyphens w:val="0"/>
        <w:autoSpaceDE/>
        <w:autoSpaceDN/>
        <w:adjustRightInd/>
        <w:spacing w:after="160" w:line="259" w:lineRule="auto"/>
        <w:jc w:val="both"/>
        <w:rPr>
          <w:rFonts w:ascii="Aptos Narrow" w:hAnsi="Aptos Narrow"/>
        </w:rPr>
      </w:pPr>
      <w:r w:rsidRPr="008F433C">
        <w:rPr>
          <w:rFonts w:ascii="Aptos Narrow" w:hAnsi="Aptos Narrow"/>
        </w:rPr>
        <w:t>Pisma w sprawie przedłużenia terminu na realizację dokumentacji powinno być dostarczone przed terminem zakończenia wskazanego w umowie.</w:t>
      </w:r>
    </w:p>
    <w:p w14:paraId="14261510" w14:textId="77777777" w:rsidR="00E66DAE" w:rsidRDefault="00E66DAE" w:rsidP="00E66DAE">
      <w:pPr>
        <w:pStyle w:val="Akapitzlist"/>
        <w:widowControl/>
        <w:suppressAutoHyphens w:val="0"/>
        <w:autoSpaceDE/>
        <w:autoSpaceDN/>
        <w:adjustRightInd/>
        <w:spacing w:after="160" w:line="259" w:lineRule="auto"/>
        <w:ind w:left="360"/>
        <w:jc w:val="both"/>
        <w:rPr>
          <w:rFonts w:ascii="Aptos Narrow" w:hAnsi="Aptos Narrow"/>
        </w:rPr>
      </w:pPr>
    </w:p>
    <w:p w14:paraId="49CB025F" w14:textId="77777777" w:rsidR="00E66DAE" w:rsidRPr="00D52573" w:rsidRDefault="00E66DAE" w:rsidP="00E66DAE">
      <w:pPr>
        <w:pStyle w:val="Akapitzlist"/>
        <w:widowControl/>
        <w:suppressAutoHyphens w:val="0"/>
        <w:autoSpaceDE/>
        <w:autoSpaceDN/>
        <w:adjustRightInd/>
        <w:spacing w:after="160" w:line="259" w:lineRule="auto"/>
        <w:ind w:left="360"/>
        <w:jc w:val="both"/>
        <w:rPr>
          <w:rFonts w:ascii="Aptos Narrow" w:hAnsi="Aptos Narrow"/>
        </w:rPr>
      </w:pPr>
    </w:p>
    <w:p w14:paraId="5AE6FC9F" w14:textId="78576A4F" w:rsidR="008F433C" w:rsidRDefault="00036CE3" w:rsidP="008F433C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Aptos Narrow" w:eastAsia="Times New Roman" w:hAnsi="Aptos Narrow"/>
          <w:i/>
          <w:iCs/>
        </w:rPr>
      </w:pPr>
      <w:r w:rsidRPr="00E66DAE">
        <w:rPr>
          <w:rFonts w:ascii="Aptos Narrow" w:eastAsia="Times New Roman" w:hAnsi="Aptos Narrow"/>
          <w:i/>
          <w:iCs/>
        </w:rPr>
        <w:t xml:space="preserve">Dokumentacja projektowa i specyfikacje techniczne będą wykorzystane jako opis przedmiotu zamówienia w postepowaniu o udzielenie zamówienia publicznego na roboty budowlane oraz realizacji na ich podstawie robót budowlanych i uzyskania ostatecznej decyzji o pozwoleniu na użytkowanie (jeżeli dotyczy), w związku </w:t>
      </w:r>
      <w:r w:rsidR="008F433C" w:rsidRPr="00E66DAE">
        <w:rPr>
          <w:rFonts w:ascii="Aptos Narrow" w:eastAsia="Times New Roman" w:hAnsi="Aptos Narrow"/>
          <w:i/>
          <w:iCs/>
        </w:rPr>
        <w:br/>
      </w:r>
      <w:r w:rsidRPr="00E66DAE">
        <w:rPr>
          <w:rFonts w:ascii="Aptos Narrow" w:eastAsia="Times New Roman" w:hAnsi="Aptos Narrow"/>
          <w:i/>
          <w:iCs/>
        </w:rPr>
        <w:t>z tym, dokumentacja nie może wskazywać na konkretne produkty, materiały z podaniem nazwy producenta lub innych oznaczeń konkretyzujących producenta. Wykonawca winien podać parametry kluczowe dopuszczające zastosowanie proponowanych produktów lub materiałów. Wskazane parametry kluczowe będą wskazywały także standard i jakość materiałów i urządzeń. Przedmiotu zamówienia nie można opisywać w sposób, który mógłby utrudniać uczciwą konkurencję, a w szczególności przez wskazanie znaków towarowych, patentów lub pochodzenia,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 źródła 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lub 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szczególnego 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procesu, który charakteryzuje 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produkty lub usługi </w:t>
      </w:r>
      <w:r w:rsidR="00ED1E4F" w:rsidRPr="00E66DAE">
        <w:rPr>
          <w:rFonts w:ascii="Aptos Narrow" w:eastAsia="Times New Roman" w:hAnsi="Aptos Narrow"/>
          <w:i/>
          <w:iCs/>
        </w:rPr>
        <w:t xml:space="preserve"> </w:t>
      </w:r>
      <w:r w:rsidRPr="00E66DAE">
        <w:rPr>
          <w:rFonts w:ascii="Aptos Narrow" w:eastAsia="Times New Roman" w:hAnsi="Aptos Narrow"/>
          <w:i/>
          <w:iCs/>
        </w:rPr>
        <w:t xml:space="preserve">dostarczane </w:t>
      </w:r>
      <w:r w:rsidR="00ED1E4F" w:rsidRPr="00E66DAE">
        <w:rPr>
          <w:rFonts w:ascii="Aptos Narrow" w:eastAsia="Times New Roman" w:hAnsi="Aptos Narrow"/>
          <w:i/>
          <w:iCs/>
        </w:rPr>
        <w:t xml:space="preserve">   </w:t>
      </w:r>
      <w:r w:rsidRPr="00E66DAE">
        <w:rPr>
          <w:rFonts w:ascii="Aptos Narrow" w:eastAsia="Times New Roman" w:hAnsi="Aptos Narrow"/>
          <w:i/>
          <w:iCs/>
        </w:rPr>
        <w:t xml:space="preserve">przez </w:t>
      </w:r>
    </w:p>
    <w:p w14:paraId="5F13E846" w14:textId="77777777" w:rsidR="008348B9" w:rsidRPr="00E66DAE" w:rsidRDefault="008348B9" w:rsidP="008F433C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Aptos Narrow" w:eastAsia="Times New Roman" w:hAnsi="Aptos Narrow"/>
          <w:i/>
          <w:iCs/>
        </w:rPr>
      </w:pPr>
    </w:p>
    <w:p w14:paraId="71EA99E8" w14:textId="7A9DF905" w:rsidR="00036CE3" w:rsidRPr="00E66DAE" w:rsidRDefault="00036CE3" w:rsidP="008F433C">
      <w:pPr>
        <w:autoSpaceDE w:val="0"/>
        <w:autoSpaceDN w:val="0"/>
        <w:adjustRightInd w:val="0"/>
        <w:spacing w:line="240" w:lineRule="auto"/>
        <w:ind w:left="567" w:right="-568"/>
        <w:jc w:val="both"/>
        <w:rPr>
          <w:rFonts w:ascii="Aptos Narrow" w:eastAsia="Times New Roman" w:hAnsi="Aptos Narrow"/>
          <w:i/>
          <w:iCs/>
        </w:rPr>
      </w:pPr>
      <w:r w:rsidRPr="00E66DAE">
        <w:rPr>
          <w:rFonts w:ascii="Aptos Narrow" w:eastAsia="Times New Roman" w:hAnsi="Aptos Narrow"/>
          <w:i/>
          <w:iCs/>
        </w:rPr>
        <w:t xml:space="preserve">konkretnego wykonawcę, jeżeli mogłoby to doprowadzić do uprzywilejowania lub wyeliminowania niektórych wykonawców lub producentów (art. 99 ust. 4 Pzp). Przedmiot zamówienia można opisać przez wskazanie znaków towarowych, patentów lub pochodzenia, źródła lub szczególnego procesu, który charakteryzuje produkty lub usługi dostarczane przez konkretnego wykonawcę, jeżeli nie można opisać przedmiotu zamówienia w wystarczająco precyzyjny i zrozumiały sposób, a wskazaniu takiemu towarzyszą wyrazy </w:t>
      </w:r>
      <w:r w:rsidRPr="00E66DAE">
        <w:rPr>
          <w:rFonts w:ascii="Aptos Narrow" w:eastAsia="Times New Roman" w:hAnsi="Aptos Narrow"/>
          <w:b/>
          <w:bCs/>
          <w:i/>
          <w:iCs/>
          <w:u w:val="single"/>
        </w:rPr>
        <w:t>„lub równoważny” (art. 99 ust. 5 Pzp), ze wskazaniem kryteriów stosowanych w celu oceny równoważności (art. 99 ust. 6 Pzp). Jeżeli dokumentacja projektowa i specyfikacje techniczne wykonania i odbioru robót zostały opisane jak powyżej, wówczas Wykonawca wskazuje jednocześnie kryteria stosowane w celu oceny równoważności przez Zamawiającego, np. za pomocą tabeli równoważności lub za każdym razem przy produktach, materiałach z podaniem nazwy producenta lub innych oznaczeń konkretyzujących producenta, wpisując w nawiasie lub po myślniku zakres istotnych parametrów, pozwalających na zastosowanie przez wykonawcę robót równoważnych produktów, urządzeń czy materiałów.</w:t>
      </w:r>
    </w:p>
    <w:p w14:paraId="501F439B" w14:textId="77777777" w:rsidR="00036CE3" w:rsidRPr="00E66DAE" w:rsidRDefault="00036CE3" w:rsidP="008F433C">
      <w:pPr>
        <w:autoSpaceDE w:val="0"/>
        <w:autoSpaceDN w:val="0"/>
        <w:adjustRightInd w:val="0"/>
        <w:spacing w:line="240" w:lineRule="auto"/>
        <w:ind w:left="567" w:right="-568" w:firstLine="708"/>
        <w:jc w:val="both"/>
        <w:rPr>
          <w:rFonts w:ascii="Aptos Narrow" w:eastAsia="Times New Roman" w:hAnsi="Aptos Narrow"/>
          <w:i/>
          <w:iCs/>
        </w:rPr>
      </w:pPr>
      <w:r w:rsidRPr="00E66DAE">
        <w:rPr>
          <w:rFonts w:ascii="Aptos Narrow" w:eastAsia="Times New Roman" w:hAnsi="Aptos Narrow"/>
          <w:i/>
          <w:iCs/>
        </w:rPr>
        <w:t xml:space="preserve">Opisując przedmiot zamówienia przez odniesienie do norm, europejskich ocen technicznych, aprobat, specyfikacji technicznych, systemów referencji technicznych, o których mowa w art. 101 ust. 1 pkt 2 oraz ust. 3 Pzp Wykonawca prac projektowych jest obowiązany wskazać, </w:t>
      </w:r>
      <w:r w:rsidRPr="00E66DAE">
        <w:rPr>
          <w:rFonts w:ascii="Aptos Narrow" w:eastAsia="Times New Roman" w:hAnsi="Aptos Narrow"/>
          <w:b/>
          <w:bCs/>
          <w:i/>
          <w:iCs/>
          <w:u w:val="single"/>
        </w:rPr>
        <w:t>że dopuszcza się rozwiązania równoważne a odniesieniu takiemu towarzyszą wyrazy „lub równoważne” (art. 101 ust. 4 Pzp), za pomocą tabeli równoważności lub za każdym razem przy wspomnianych normach, wpisując w nawiasie lub po myślniku inne normy, pozwalające na zastosowanie przez wykonawcę robót norm równoważnych.</w:t>
      </w:r>
    </w:p>
    <w:p w14:paraId="5A71618E" w14:textId="77777777" w:rsidR="00036CE3" w:rsidRPr="00E66DAE" w:rsidRDefault="00036CE3" w:rsidP="00036CE3">
      <w:pPr>
        <w:jc w:val="both"/>
        <w:rPr>
          <w:rFonts w:ascii="Aptos Narrow" w:hAnsi="Aptos Narrow"/>
          <w:b/>
          <w:i/>
          <w:iCs/>
        </w:rPr>
      </w:pPr>
    </w:p>
    <w:p w14:paraId="4AB87308" w14:textId="77777777" w:rsidR="00036CE3" w:rsidRPr="00E66DAE" w:rsidRDefault="00036CE3" w:rsidP="00036CE3">
      <w:pPr>
        <w:pStyle w:val="Nagwek1"/>
        <w:rPr>
          <w:rFonts w:ascii="Aptos Narrow" w:hAnsi="Aptos Narrow"/>
          <w:i/>
          <w:iCs/>
          <w:sz w:val="22"/>
          <w:szCs w:val="22"/>
        </w:rPr>
      </w:pPr>
    </w:p>
    <w:p w14:paraId="22FD1935" w14:textId="77777777" w:rsidR="00807E75" w:rsidRPr="00E66DAE" w:rsidRDefault="00807E75" w:rsidP="008F433C">
      <w:pPr>
        <w:ind w:right="-568"/>
        <w:rPr>
          <w:rFonts w:ascii="Aptos Narrow" w:hAnsi="Aptos Narrow"/>
          <w:i/>
          <w:iCs/>
        </w:rPr>
      </w:pPr>
    </w:p>
    <w:sectPr w:rsidR="00807E75" w:rsidRPr="00E66DAE" w:rsidSect="004474AA">
      <w:headerReference w:type="default" r:id="rId7"/>
      <w:footerReference w:type="default" r:id="rId8"/>
      <w:pgSz w:w="11907" w:h="16839" w:code="9"/>
      <w:pgMar w:top="851" w:right="851" w:bottom="851" w:left="1418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868D6" w14:textId="77777777" w:rsidR="008722C3" w:rsidRDefault="008722C3" w:rsidP="003E5024">
      <w:pPr>
        <w:spacing w:after="0" w:line="240" w:lineRule="auto"/>
      </w:pPr>
      <w:r>
        <w:separator/>
      </w:r>
    </w:p>
  </w:endnote>
  <w:endnote w:type="continuationSeparator" w:id="0">
    <w:p w14:paraId="0DF35B6B" w14:textId="77777777" w:rsidR="008722C3" w:rsidRDefault="008722C3" w:rsidP="003E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9173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A574C" w14:textId="39B79220" w:rsidR="005B02CC" w:rsidRDefault="005B02CC">
            <w:pPr>
              <w:pStyle w:val="Stopka"/>
              <w:jc w:val="right"/>
            </w:pPr>
            <w:r w:rsidRPr="005B02CC">
              <w:rPr>
                <w:sz w:val="18"/>
                <w:szCs w:val="18"/>
              </w:rPr>
              <w:t xml:space="preserve">Strona </w:t>
            </w:r>
            <w:r w:rsidRPr="005B02CC">
              <w:rPr>
                <w:b/>
                <w:bCs/>
                <w:sz w:val="18"/>
                <w:szCs w:val="18"/>
              </w:rPr>
              <w:fldChar w:fldCharType="begin"/>
            </w:r>
            <w:r w:rsidRPr="005B02CC">
              <w:rPr>
                <w:b/>
                <w:bCs/>
                <w:sz w:val="18"/>
                <w:szCs w:val="18"/>
              </w:rPr>
              <w:instrText>PAGE</w:instrText>
            </w:r>
            <w:r w:rsidRPr="005B02CC">
              <w:rPr>
                <w:b/>
                <w:bCs/>
                <w:sz w:val="18"/>
                <w:szCs w:val="18"/>
              </w:rPr>
              <w:fldChar w:fldCharType="separate"/>
            </w:r>
            <w:r w:rsidRPr="005B02CC">
              <w:rPr>
                <w:b/>
                <w:bCs/>
                <w:sz w:val="18"/>
                <w:szCs w:val="18"/>
              </w:rPr>
              <w:t>2</w:t>
            </w:r>
            <w:r w:rsidRPr="005B02CC">
              <w:rPr>
                <w:b/>
                <w:bCs/>
                <w:sz w:val="18"/>
                <w:szCs w:val="18"/>
              </w:rPr>
              <w:fldChar w:fldCharType="end"/>
            </w:r>
            <w:r w:rsidRPr="005B02CC">
              <w:rPr>
                <w:sz w:val="18"/>
                <w:szCs w:val="18"/>
              </w:rPr>
              <w:t xml:space="preserve"> z </w:t>
            </w:r>
            <w:r w:rsidRPr="005B02CC">
              <w:rPr>
                <w:b/>
                <w:bCs/>
                <w:sz w:val="18"/>
                <w:szCs w:val="18"/>
              </w:rPr>
              <w:fldChar w:fldCharType="begin"/>
            </w:r>
            <w:r w:rsidRPr="005B02CC">
              <w:rPr>
                <w:b/>
                <w:bCs/>
                <w:sz w:val="18"/>
                <w:szCs w:val="18"/>
              </w:rPr>
              <w:instrText>NUMPAGES</w:instrText>
            </w:r>
            <w:r w:rsidRPr="005B02CC">
              <w:rPr>
                <w:b/>
                <w:bCs/>
                <w:sz w:val="18"/>
                <w:szCs w:val="18"/>
              </w:rPr>
              <w:fldChar w:fldCharType="separate"/>
            </w:r>
            <w:r w:rsidRPr="005B02CC">
              <w:rPr>
                <w:b/>
                <w:bCs/>
                <w:sz w:val="18"/>
                <w:szCs w:val="18"/>
              </w:rPr>
              <w:t>2</w:t>
            </w:r>
            <w:r w:rsidRPr="005B02C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4E8D03" w14:textId="77777777" w:rsidR="008C272C" w:rsidRDefault="008C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B8B1D" w14:textId="77777777" w:rsidR="008722C3" w:rsidRDefault="008722C3" w:rsidP="003E5024">
      <w:pPr>
        <w:spacing w:after="0" w:line="240" w:lineRule="auto"/>
      </w:pPr>
      <w:r>
        <w:separator/>
      </w:r>
    </w:p>
  </w:footnote>
  <w:footnote w:type="continuationSeparator" w:id="0">
    <w:p w14:paraId="211AF4AC" w14:textId="77777777" w:rsidR="008722C3" w:rsidRDefault="008722C3" w:rsidP="003E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8C78A" w14:textId="77777777" w:rsidR="00036CE3" w:rsidRPr="008F433C" w:rsidRDefault="00036CE3" w:rsidP="008F433C">
    <w:pPr>
      <w:spacing w:after="0" w:line="240" w:lineRule="auto"/>
      <w:ind w:left="6521"/>
      <w:jc w:val="center"/>
      <w:rPr>
        <w:rFonts w:ascii="Aptos" w:hAnsi="Aptos"/>
        <w:b/>
        <w:bCs/>
        <w:color w:val="1E1916"/>
        <w:u w:val="single"/>
      </w:rPr>
    </w:pPr>
    <w:r w:rsidRPr="008F433C">
      <w:rPr>
        <w:rFonts w:ascii="Aptos" w:hAnsi="Aptos"/>
        <w:b/>
        <w:bCs/>
        <w:color w:val="1E1916"/>
        <w:u w:val="single"/>
      </w:rPr>
      <w:t>Załącznik nr 2</w:t>
    </w:r>
  </w:p>
  <w:p w14:paraId="2347488B" w14:textId="6CC48171" w:rsidR="00036CE3" w:rsidRPr="008F433C" w:rsidRDefault="00036CE3" w:rsidP="008F433C">
    <w:pPr>
      <w:spacing w:after="0" w:line="240" w:lineRule="auto"/>
      <w:ind w:left="6521"/>
      <w:jc w:val="center"/>
      <w:rPr>
        <w:rFonts w:ascii="Aptos" w:hAnsi="Aptos"/>
        <w:color w:val="1E1916"/>
      </w:rPr>
    </w:pPr>
    <w:r w:rsidRPr="008F433C">
      <w:rPr>
        <w:rFonts w:ascii="Aptos" w:hAnsi="Aptos"/>
        <w:color w:val="1E1916"/>
      </w:rPr>
      <w:t xml:space="preserve">do umowy </w:t>
    </w:r>
    <w:r w:rsidRPr="008F433C">
      <w:rPr>
        <w:rFonts w:ascii="Aptos" w:hAnsi="Aptos"/>
      </w:rPr>
      <w:t xml:space="preserve">nr </w:t>
    </w:r>
    <w:r w:rsidR="00B64498">
      <w:rPr>
        <w:rFonts w:ascii="Aptos" w:hAnsi="Aptos"/>
      </w:rPr>
      <w:t>……..</w:t>
    </w:r>
    <w:r w:rsidRPr="008F433C">
      <w:rPr>
        <w:rFonts w:ascii="Aptos" w:hAnsi="Aptos"/>
      </w:rPr>
      <w:t>/D/</w:t>
    </w:r>
    <w:r w:rsidR="00B64498">
      <w:rPr>
        <w:rFonts w:ascii="Aptos" w:hAnsi="Aptos"/>
      </w:rPr>
      <w:t>……</w:t>
    </w:r>
    <w:r w:rsidRPr="008F433C">
      <w:rPr>
        <w:rFonts w:ascii="Aptos" w:hAnsi="Aptos"/>
      </w:rPr>
      <w:t>/202</w:t>
    </w:r>
    <w:r w:rsidR="00B64498">
      <w:rPr>
        <w:rFonts w:ascii="Aptos" w:hAnsi="Aptos"/>
      </w:rPr>
      <w:t>6</w:t>
    </w:r>
    <w:r w:rsidRPr="008F433C">
      <w:rPr>
        <w:rFonts w:ascii="Aptos" w:hAnsi="Aptos"/>
      </w:rPr>
      <w:t xml:space="preserve"> </w:t>
    </w:r>
    <w:r w:rsidRPr="008F433C">
      <w:rPr>
        <w:rFonts w:ascii="Aptos" w:hAnsi="Aptos"/>
      </w:rPr>
      <w:br/>
      <w:t>z dnia</w:t>
    </w:r>
    <w:r w:rsidR="006A17F1">
      <w:rPr>
        <w:rFonts w:ascii="Aptos" w:hAnsi="Aptos"/>
      </w:rPr>
      <w:t xml:space="preserve"> </w:t>
    </w:r>
    <w:r w:rsidR="00B64498">
      <w:rPr>
        <w:rFonts w:ascii="Aptos" w:hAnsi="Aptos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274B68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/>
      </w:rPr>
    </w:lvl>
  </w:abstractNum>
  <w:abstractNum w:abstractNumId="1" w15:restartNumberingAfterBreak="0">
    <w:nsid w:val="36EC2C1B"/>
    <w:multiLevelType w:val="hybridMultilevel"/>
    <w:tmpl w:val="8988A1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EA62BBE"/>
    <w:multiLevelType w:val="hybridMultilevel"/>
    <w:tmpl w:val="8A08ED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4496F77"/>
    <w:multiLevelType w:val="multilevel"/>
    <w:tmpl w:val="D920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B93E87"/>
    <w:multiLevelType w:val="multilevel"/>
    <w:tmpl w:val="F35A6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FF7FD5"/>
    <w:multiLevelType w:val="hybridMultilevel"/>
    <w:tmpl w:val="538C9334"/>
    <w:lvl w:ilvl="0" w:tplc="9D8C9E8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99179A"/>
    <w:multiLevelType w:val="hybridMultilevel"/>
    <w:tmpl w:val="616CCAF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49798357">
    <w:abstractNumId w:val="6"/>
  </w:num>
  <w:num w:numId="2" w16cid:durableId="1617984331">
    <w:abstractNumId w:val="0"/>
  </w:num>
  <w:num w:numId="3" w16cid:durableId="811752001">
    <w:abstractNumId w:val="1"/>
  </w:num>
  <w:num w:numId="4" w16cid:durableId="980311849">
    <w:abstractNumId w:val="2"/>
  </w:num>
  <w:num w:numId="5" w16cid:durableId="649332073">
    <w:abstractNumId w:val="4"/>
  </w:num>
  <w:num w:numId="6" w16cid:durableId="1429354053">
    <w:abstractNumId w:val="3"/>
  </w:num>
  <w:num w:numId="7" w16cid:durableId="1061561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32"/>
    <w:rsid w:val="00017CDE"/>
    <w:rsid w:val="000334BD"/>
    <w:rsid w:val="00036CE3"/>
    <w:rsid w:val="000A47D6"/>
    <w:rsid w:val="000B79CB"/>
    <w:rsid w:val="00134172"/>
    <w:rsid w:val="00137599"/>
    <w:rsid w:val="00164B60"/>
    <w:rsid w:val="001737C5"/>
    <w:rsid w:val="00176F4E"/>
    <w:rsid w:val="00193153"/>
    <w:rsid w:val="001A6543"/>
    <w:rsid w:val="001C4AB3"/>
    <w:rsid w:val="001D6561"/>
    <w:rsid w:val="00217FBB"/>
    <w:rsid w:val="00230C11"/>
    <w:rsid w:val="00235CB2"/>
    <w:rsid w:val="0025694C"/>
    <w:rsid w:val="002A430E"/>
    <w:rsid w:val="002B04AD"/>
    <w:rsid w:val="002C640D"/>
    <w:rsid w:val="002C746F"/>
    <w:rsid w:val="002D1A12"/>
    <w:rsid w:val="00305487"/>
    <w:rsid w:val="0031652E"/>
    <w:rsid w:val="00335412"/>
    <w:rsid w:val="00342F57"/>
    <w:rsid w:val="003672B7"/>
    <w:rsid w:val="00374232"/>
    <w:rsid w:val="00386549"/>
    <w:rsid w:val="00391896"/>
    <w:rsid w:val="003E3376"/>
    <w:rsid w:val="003E5024"/>
    <w:rsid w:val="003F2CAD"/>
    <w:rsid w:val="0040074D"/>
    <w:rsid w:val="00406ABC"/>
    <w:rsid w:val="00444320"/>
    <w:rsid w:val="004474AA"/>
    <w:rsid w:val="004626CD"/>
    <w:rsid w:val="004A2A07"/>
    <w:rsid w:val="004C6236"/>
    <w:rsid w:val="00523FEA"/>
    <w:rsid w:val="005402AD"/>
    <w:rsid w:val="0054147C"/>
    <w:rsid w:val="00577D28"/>
    <w:rsid w:val="00582C6C"/>
    <w:rsid w:val="005B02CC"/>
    <w:rsid w:val="005C101C"/>
    <w:rsid w:val="005E2541"/>
    <w:rsid w:val="005E504B"/>
    <w:rsid w:val="005E5961"/>
    <w:rsid w:val="00610BAF"/>
    <w:rsid w:val="00635625"/>
    <w:rsid w:val="00673A4F"/>
    <w:rsid w:val="006A17F1"/>
    <w:rsid w:val="006F7FCE"/>
    <w:rsid w:val="007027A6"/>
    <w:rsid w:val="007165FA"/>
    <w:rsid w:val="007237AC"/>
    <w:rsid w:val="00740674"/>
    <w:rsid w:val="0078173B"/>
    <w:rsid w:val="00784D58"/>
    <w:rsid w:val="007A4CB9"/>
    <w:rsid w:val="007F0F42"/>
    <w:rsid w:val="00807E75"/>
    <w:rsid w:val="008348B9"/>
    <w:rsid w:val="008722C3"/>
    <w:rsid w:val="00884A91"/>
    <w:rsid w:val="0089593D"/>
    <w:rsid w:val="008B19A0"/>
    <w:rsid w:val="008B3B86"/>
    <w:rsid w:val="008C272C"/>
    <w:rsid w:val="008E3723"/>
    <w:rsid w:val="008F2629"/>
    <w:rsid w:val="008F433C"/>
    <w:rsid w:val="00906788"/>
    <w:rsid w:val="00937F53"/>
    <w:rsid w:val="00956B1D"/>
    <w:rsid w:val="0097044A"/>
    <w:rsid w:val="00971177"/>
    <w:rsid w:val="00993F5B"/>
    <w:rsid w:val="009A6021"/>
    <w:rsid w:val="009B1F65"/>
    <w:rsid w:val="009C5867"/>
    <w:rsid w:val="009D733D"/>
    <w:rsid w:val="009E54B9"/>
    <w:rsid w:val="009F3304"/>
    <w:rsid w:val="00A25DFA"/>
    <w:rsid w:val="00A4207E"/>
    <w:rsid w:val="00A83511"/>
    <w:rsid w:val="00A97EF5"/>
    <w:rsid w:val="00AA4701"/>
    <w:rsid w:val="00AF053C"/>
    <w:rsid w:val="00B15175"/>
    <w:rsid w:val="00B21443"/>
    <w:rsid w:val="00B22625"/>
    <w:rsid w:val="00B42F11"/>
    <w:rsid w:val="00B64498"/>
    <w:rsid w:val="00B94853"/>
    <w:rsid w:val="00BB023D"/>
    <w:rsid w:val="00C25983"/>
    <w:rsid w:val="00C320D6"/>
    <w:rsid w:val="00CB7F20"/>
    <w:rsid w:val="00CE3633"/>
    <w:rsid w:val="00CE3ECF"/>
    <w:rsid w:val="00D03C46"/>
    <w:rsid w:val="00D52573"/>
    <w:rsid w:val="00D72C0D"/>
    <w:rsid w:val="00D94FAB"/>
    <w:rsid w:val="00DA2D8B"/>
    <w:rsid w:val="00DE4E75"/>
    <w:rsid w:val="00E217FE"/>
    <w:rsid w:val="00E32F88"/>
    <w:rsid w:val="00E6234A"/>
    <w:rsid w:val="00E66DAE"/>
    <w:rsid w:val="00EA1887"/>
    <w:rsid w:val="00ED1E4F"/>
    <w:rsid w:val="00F0472C"/>
    <w:rsid w:val="00F26512"/>
    <w:rsid w:val="00F4292B"/>
    <w:rsid w:val="00F82663"/>
    <w:rsid w:val="00F9222D"/>
    <w:rsid w:val="00FD52A2"/>
    <w:rsid w:val="00FE006D"/>
    <w:rsid w:val="00FE1090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35593F9"/>
  <w15:docId w15:val="{D648C59D-3228-43C8-8F54-C4CB4E85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232"/>
  </w:style>
  <w:style w:type="paragraph" w:styleId="Nagwek1">
    <w:name w:val="heading 1"/>
    <w:basedOn w:val="Normalny"/>
    <w:next w:val="Normalny"/>
    <w:link w:val="Nagwek1Znak"/>
    <w:qFormat/>
    <w:rsid w:val="00036CE3"/>
    <w:pPr>
      <w:keepNext/>
      <w:keepLines/>
      <w:widowControl w:val="0"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3F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232"/>
    <w:pPr>
      <w:widowControl w:val="0"/>
      <w:suppressAutoHyphens/>
      <w:autoSpaceDE w:val="0"/>
      <w:autoSpaceDN w:val="0"/>
      <w:adjustRightInd w:val="0"/>
      <w:spacing w:after="0" w:line="240" w:lineRule="auto"/>
      <w:ind w:left="720"/>
      <w:contextualSpacing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pl-PL" w:bidi="hi-IN"/>
    </w:rPr>
  </w:style>
  <w:style w:type="paragraph" w:styleId="Stopka">
    <w:name w:val="footer"/>
    <w:basedOn w:val="Normalny"/>
    <w:link w:val="StopkaZnak"/>
    <w:uiPriority w:val="99"/>
    <w:unhideWhenUsed/>
    <w:rsid w:val="0037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232"/>
  </w:style>
  <w:style w:type="table" w:styleId="Tabela-Siatka">
    <w:name w:val="Table Grid"/>
    <w:basedOn w:val="Standardowy"/>
    <w:uiPriority w:val="59"/>
    <w:rsid w:val="00374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uiPriority w:val="99"/>
    <w:rsid w:val="00374232"/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3E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24"/>
  </w:style>
  <w:style w:type="character" w:styleId="Hipercze">
    <w:name w:val="Hyperlink"/>
    <w:basedOn w:val="Domylnaczcionkaakapitu"/>
    <w:uiPriority w:val="99"/>
    <w:unhideWhenUsed/>
    <w:rsid w:val="00A97EF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F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036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W.Prochera</dc:creator>
  <cp:keywords/>
  <dc:description/>
  <cp:lastModifiedBy>Korzeń Alina</cp:lastModifiedBy>
  <cp:revision>33</cp:revision>
  <cp:lastPrinted>2025-12-18T08:50:00Z</cp:lastPrinted>
  <dcterms:created xsi:type="dcterms:W3CDTF">2025-04-11T10:16:00Z</dcterms:created>
  <dcterms:modified xsi:type="dcterms:W3CDTF">2026-01-14T11:33:00Z</dcterms:modified>
</cp:coreProperties>
</file>